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CE-LVD；</w:t>
              <w:br/>
            </w:r>
            <w:r>
              <w:t>CE-EMC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DH-CS4010-8ET-60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5.6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4.17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RJ-45 10/100 Mbps (PoE); Port 9-10: 2 × RJ-45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 ≤ 60 W, Port 2-8 ≤ 30 W, total ≤ 60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W; 
Full load: 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1.226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0.48 kg (1.06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1.12 kg (2.47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190 mm × 106 mm × 30 mm (7.48" × 4.17" × 1.18")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232.62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control; Unknown unicast suppression; Multicast storm control; Broadcast storm control;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256 mm × 244 mm × 87 mm (10.07" × 9.61" × 3.43")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