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DH-PFS4226-24ET-360-V3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RJ-45 10/100 Mbps;
Port 25-26: 2 × RJ-45 10/100/1000 Mbps;
Port 25-26: 2 × SFP 1000 Mbps (combo)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1 × Console port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50/60 Hz, 6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360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6.55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2.75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 802.3ab; IEEE 802.3z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3-24 ≤ 30 W, total ≤ 360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
PoE power on/off;
Turns off PoE if overload is detected;
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VLAN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Link Aggregation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
LACP;
GE port aggregation</w:t>
            </w:r>
          </w:p>
        </w:tc>
      </w:tr>
      <w:tr>
        <w:tc>
          <w:p>
            <w:r>
              <w:t>Mirroring</w:t>
            </w:r>
          </w:p>
        </w:tc>
        <w:tc>
          <w:p>
            <w:r>
              <w:t>Mirror</w:t>
            </w:r>
          </w:p>
        </w:tc>
        <w:tc>
          <w:p>
            <w:r>
              <w:t>1:1 mirroring; N:1 mirroring</w:t>
            </w:r>
          </w:p>
        </w:tc>
      </w:tr>
      <w:tr>
        <w:tc>
          <w:p>
            <w:r>
              <w:t>Multicast</w:t>
            </w:r>
          </w:p>
        </w:tc>
        <w:tc>
          <w:p>
            <w:r>
              <w:t>Multicast</w:t>
            </w:r>
          </w:p>
        </w:tc>
        <w:tc>
          <w:p>
            <w:r>
              <w:t>IGMP Snooping v1/v2</w:t>
            </w:r>
          </w:p>
        </w:tc>
      </w:tr>
      <w:tr>
        <w:tc>
          <w:p>
            <w:r>
              <w:t>DHCP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Security</w:t>
            </w:r>
          </w:p>
        </w:tc>
        <w:tc>
          <w:p>
            <w:r>
              <w:t>Security</w:t>
            </w:r>
          </w:p>
        </w:tc>
        <w:tc>
          <w:p>
            <w:r>
              <w:t>Multi-level user management and password protection;
802.1X;
RADIUS;
Port isolation</w:t>
            </w:r>
          </w:p>
        </w:tc>
      </w:tr>
      <w:tr>
        <w:tc>
          <w:p>
            <w:r>
              <w:t>QoS/ACL</w:t>
            </w:r>
          </w:p>
        </w:tc>
        <w:tc>
          <w:p>
            <w:r>
              <w:t>QoS/ACL</w:t>
            </w:r>
          </w:p>
        </w:tc>
        <w:tc>
          <w:p>
            <w:r>
              <w:t>SP/WRR queue scheduling</w:t>
            </w:r>
          </w:p>
        </w:tc>
      </w:tr>
      <w:tr>
        <w:tc>
          <w:p>
            <w:r>
              <w:t>Management &amp; Maintenance</w:t>
            </w:r>
          </w:p>
        </w:tc>
        <w:tc>
          <w:p>
            <w:r>
              <w:t>Equipment Management</w:t>
            </w:r>
          </w:p>
        </w:tc>
        <w:tc>
          <w:p>
            <w:r>
              <w:t>SNMPv1/v2/v3;
System logs, multi-level alarms;
LLDP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3.39 kg (7.47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4.66 kg (10.27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300 mm × 44 mm (17.32" × 11.81" × 1.73")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565 mm × 530 mm × 415 mm (22.24" × 20.87" × 16.34")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