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DH-SF1008LP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Unmanaged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+65 °C (–4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RJ-45 10/100 Mbps (PoE)
Port 5-8: 4 × RJ-45 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190 mm × 100 mm × 30 mm (7.48" × 3.94"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Hot Plug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supply:53 VDC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0.8 W
Full load: 60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300,000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1.19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768 Kbit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 ≤ 60 W(Hi-PoE), port 2-4 ≤ 30 W, total ≤ 60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PoE:1,2(V+),3,6(V-)
Hi-PoE:1,2,4,5（V+）,3,6,7,8（V-）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0.49 kg (1.08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