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DH-CS4010-8ET-110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5.6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 Mbps (PoE);
Port 9-10: 2 × RJ-45 10/100/1000 Mbps（uplink）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 ≤ 90 W, Port 2-8 ≤ 30 W, total ≤ 110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W;
Full load: 110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54 VDC, 2.22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0.5 kg (1.10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190 mm × 106 mm × 30 mm (7.48" × 4.17" × 1.18")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150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
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1.25 kg (2.76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256 mm × 244 mm × 87 mm (10.07" × 9.61" × 3.43")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