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PoE Midspan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NA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PoE Midspan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PoE Midspan | DH-TAM01GT01GT-75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