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Ethernet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Compatibility; Directive 2014/30/EU;</w:t>
              <w:br/>
            </w:r>
            <w:r>
              <w:t>FCC: 47 CFR FCC Part 15, Subpart B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Ethernet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Ethernet Switch | DH-PFS3005-5GT-V2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Modular Switch/Fixed Switch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 xml:space="preserve">Included Power Adapter 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5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0 °C to +45 °C (+32 °F to +113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1-5: 5 × 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5 VDC; 1 A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Idling: 0.5 W;
Full load: 1.5 W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Switching Capacity</w:t>
            </w:r>
          </w:p>
        </w:tc>
        <w:tc>
          <w:p>
            <w:r>
              <w:t>10 Gbps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Forwarding Rate</w:t>
            </w:r>
          </w:p>
        </w:tc>
        <w:tc>
          <w:p>
            <w:r>
              <w:t>7.44 Mpps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1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2K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4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2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0.16 kg (0.35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0.28 kg (0.62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87.0 mm × 47.0 mm × 22.0 mm (3.42" × 1.85" × 0.87")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94.0 mm × 111.0 mm × 67.0 mm (3.70" × 4.37" × 2.64")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Casing Material</w:t>
            </w:r>
          </w:p>
        </w:tc>
        <w:tc>
          <w:p>
            <w:r>
              <w:t>Iron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 mount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