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DH-CS4226-24ET-375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8.8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6.55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1-24: 24 × RJ-45 10/100 Mbps (PoE); Port 25-26: 2 × RJ-45 10/100/1000 Mbps (combo); Port 25-26: 2 × SFP 1000 Mbps (combo)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PoE Power</w:t>
            </w:r>
          </w:p>
        </w:tc>
        <w:tc>
          <w:p>
            <w:r>
              <w:t>Port 1-2 ≤ 90 W, Port 3-24 ≤ 30 W, total ≤ 375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Management Type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47–63 Hz, max 7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≤8.5 W ; Full load: 400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 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2.62 kg (5.76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220 mm × 44 mm (17.32" × 8.66" × 1.73") (L × W × H)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24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Speed</w:t>
            </w:r>
          </w:p>
        </w:tc>
        <w:tc>
          <w:p>
            <w:r>
              <w:t>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64.20 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IEEE802.3ab; IEEE802.3z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Hi-PoE; IEEE802.3bt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3.22 kg (7.08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 Power cord × 1; Rack-mount kit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