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DH-AX30(DE)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Power Consumption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&lt;18W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PWR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1×10/100/1000 Mbps(WAN) 
3×10/100/1000 Mbps(LAN)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802.11 b/g/n/ax
5 GHz: 802.11 a/b/g/n/ac/ax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2.412GHz – 2.472 GHz 
5.170GHz – 5.330 GHz 
5.735GHz – 5.835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20/40/80/160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≤23 dBm@5150-5250 MHz;
≤23 dBm@5250-5350 MHz;
≤27 dBm@5470-5725 MHz;
≤14 dBm@5725-5850 MHz
FCC output power:
≤27 dBm@2400-2483.5 MHz;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2.4 GHz: 5 dBi (±0.5）
5 GHz: 5 dBi (±0.5）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</w:t>
            </w:r>
          </w:p>
        </w:tc>
        <w:tc>
          <w:p>
            <w:r>
              <w:t>2.4 GHz：1-13
5 GHz: 36/40/44/48/149/151/153/157/161/165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Up to 128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Router; repeater; Mesh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WPA-PSK; WPA2-PSK; WPA-PSK/WPA2-PSK; WPA3-PSK;WPA2-PSK/WPA3-PSK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Mapping based on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0.86 kg (1.90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0.36 kg (0.79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470 mm × 295 mm × 60 mm (18.50" × 11.61" × 2.36")(L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262.2 mm × 150.1 mm × 184.5 mm (10.32" × 5.91" × 7.26")(L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 Differential mode: 0.5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
1 × Power adapter
1 × Ethernet cable
1 × Quick Start Guide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