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DH-PFS3211-8GT-120-V2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Box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RJ-45 10/100/1000 Mbps (PoE);
Port 9-10: 2 × SFP 1000 Mbps (uplink);
Port 11: 1 × RJ-45 10/100/1000 Mbps (uplink)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5 W
Full load: 120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33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16.37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1.75 Mbit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1-2≤ 90 W, Port 3-8 ≤30 W, Total≤120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 (V+),3,6,7,8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 8 kV
Contact discharge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 4 kV
Differential mode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0.67 kg (1.48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150 mm × 110 mm × 42 mm (5.91" × 4.33" × 1.65")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