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DH-N3(DE)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Function Slots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Module Connector</w:t>
            </w:r>
          </w:p>
        </w:tc>
        <w:tc>
          <w:p>
            <w:r>
              <w:t>1 × 12 VDC 0.5A Power adapter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3.2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WAN Port</w:t>
            </w:r>
          </w:p>
        </w:tc>
        <w:tc>
          <w:p>
            <w:r>
              <w:t>1 × 10/100 Mbps RJ-45 port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 two-color light indicator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1 × WAN port (RJ-45)
3 × LAN port (RJ-45);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IEEE 802.11b/g/n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2.412 GHz–2.484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FCC output power:
≤30 dBm@2400-2483.5 MHz;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3 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Mode</w:t>
            </w:r>
          </w:p>
        </w:tc>
        <w:tc>
          <w:p>
            <w:r>
              <w:t>router mode; repeater mode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1–13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Device Type</w:t>
            </w:r>
          </w:p>
        </w:tc>
        <w:tc>
          <w:p>
            <w:r>
              <w:t>802.11b/g/n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 MHz; 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Standard TX Power</w:t>
            </w:r>
          </w:p>
        </w:tc>
        <w:tc>
          <w:p>
            <w:r>
              <w:t>20 dBm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Management and Log</w:t>
            </w:r>
          </w:p>
        </w:tc>
        <w:tc>
          <w:p>
            <w:r>
              <w:t>Syslog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+40 °C (+14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0.303 kg (0.67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0.125 kg (0.28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218.0 mm × 245.0 mm × 45.0 mm (8.58" × 9.65" × 1.77")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devices，1 × Power adapter，1 ×  Twisted pair cables，1 × User manual，1 × Laws and regulations manual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